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199</w:t>
      </w:r>
    </w:p>
    <w:p>
      <w:r>
        <w:t>Bundesgericht (BGE), 1993-05-28, FR</w:t>
      </w:r>
    </w:p>
    <w:p>
      <w:r>
        <w:rPr>
          <w:b/>
        </w:rPr>
        <w:t xml:space="preserve">Quelle: </w:t>
      </w:r>
      <w:r>
        <w:t>https://mcp.opencaselaw.ch/entscheid/bge_119 IV 199</w:t>
      </w:r>
    </w:p>
    <w:p>
      <w:r>
        <w:t>FR: ATF 119 IV 199</w:t>
      </w:r>
    </w:p>
    <w:p>
      <w:r>
        <w:t>IT: DTF 119 IV 199</w:t>
      </w:r>
    </w:p>
    <w:p>
      <w:pPr>
        <w:pStyle w:val="Heading2"/>
      </w:pPr>
      <w:r>
        <w:t>Regeste</w:t>
      </w:r>
    </w:p>
    <w:p>
      <w:r>
        <w:t>Regeste Art. 71 Abs. 2 StGB; Art. 173 ff. StGB; Beginn der Verjährung bei Ehrdelikten. Mehrere strafbare Handlungen sind gemäss dieser Bestimmung dann als Einheit anzusehen, wenn sie gleichartig und gegen dasselbe Rechtsgut gerichtet sind und ein andauerndes pflichtwidriges Verhalten bilden. Ehrverletzungen fehlt in der Regel das Merkmal der Dauerhaftigkeit; vielmehr stellt jede für sich einen Einzelakt dar, weshalb hinsichtlich der Verjährung grundsätzlich keine Einheit anzunehmen ist (Konkretisierung der Rechtsprechung).</w:t>
      </w:r>
    </w:p>
    <w:p>
      <w:pPr>
        <w:pStyle w:val="Heading2"/>
      </w:pPr>
      <w:r>
        <w:t>Erwägungen</w:t>
      </w:r>
    </w:p>
    <w:p>
      <w:r>
        <w:rPr>
          <w:b/>
        </w:rPr>
        <w:t>E. 2</w:t>
      </w:r>
    </w:p>
    <w:p>
      <w:r>
        <w:t>Le recourant se plaint de la violation des art. 68 et 178 CP , car selon lui les infractions éventuelles qu'il aurait pu commettre par courriers des 3 septembre 1988, 29 septembre 1988 et 10 décembre 1988 sont prescrites, car l'autorité cantonale n'aurait pas dû retenir le délit continu attendu que les destinataires des lettres avaient été chaque fois différents, l'envoi étant intervenu à des moments différents et que le contenu de ces écrits avait varié tant dans la forme que dans le fond. En matière d'atteinte à l'honneur, l'action pénale se prescrit par 2 ans et la prescription absolue est de 4 ans ( art. 178 al. 1 et 72 ch. 2 CP ). La prescription court du jour où le délinquant a exercé son activité coupable et, si cette activité s'est exercée à plusieurs reprises, du jour du dernier acte ( art. 71 CP ). Savoir si et à quelles conditions une pluralité d'infractions doit être réunie en une entité juridique qui les englobe doit être décidé séparément dans chacun des domaines BGE 119 IV 199 S. 201 où jusqu'ici la notion de délit successif trouvait application. S'agissant de la prescription, plusieurs infractions ne doivent être considérées comme une entité au sens de l' art. 71 al. 2 CP que si elles sont de même nature, si elles ont été commises au préjudice du même bien juridique et si elles constituent un comportement illicite durable. Savoir quelles sont les conditions exactes dans lesquelles ces exigences sont remplies ne peut être défini exhaustivement en une formule abstraite ( ATF 117 IV 409 ; ATF 118 IV 318 ). En l'espèce, il ressort des faits retenus par l'autorité cantonale et que le Tribunal fédéral ne saurait revoir dans le cadre d'un pourvoi en nullité ( art. 277bis al. 1 PPF ) que les différentes lettres du recourant comportent les mêmes griefs à l'encontre de l'intimé, soit d'avoir organisé et présidé un concours truqué, mais elles s'adressent à différents destinataires chaque fois et, si elles s'en prennent au même bien juridiquement protégé, à savoir l'honneur de l'intimé, elles ne constituent pas un comportement illicite durable au regard de la jurisprudence la plus récente, dont l'autorité cantonale n'a pu avoir connaissance lorsqu'elle a statué ( ATF 118 IV 309 consid. 2). En effet, ainsi qu'il est exposé dans cet arrêt, il doit exister une certaine unité entre les actes incriminés, laquelle est suffisante lorsque ces actes procèdent d'un comportement durablement contraire à un devoir permanent de l'auteur (andauerndes pflichtwidriges Verhalten) sans que l'on soit toutefois en présence d'un délit continu au sens de l' art. 71 al. 3 CP , comme c'est par exemple le cas lors de la violation répétée du devoir d'entretien, puisque le devoir de s'acquitter de la dette alimentaire ne cesse pas après le terme fixé, mais qu'au contraire le débiteur demeure tenu de verser la totalité des montants échus. Un autre exemple peut être trouvé dans le cadre d'actes multiples de gestion déloyale. En revanche, de même que le fait d'accepter un avantage ( art. 316 CP , en cause dans l'arrêt précité), l'atteinte à l'honneur ne renferme pas cet élément à caractère durable. Chaque acte est un fait ponctuel, non pas une situation qui se prolonge dans le temps. Ainsi le recourant n'était-il pas plus tenu que tout autre justiciable de respecter constamment l'honneur de l'intimé, si bien qu'il n'y a pas eu de comportement durablement contraire à un devoir particulier et permanent. Il s'ensuit que les actes reprochés au recourant ne constituent pas une entité du point de vue de la prescription, celle-ci ne commençant à courir que du jour où chacune des atteintes à l'honneur a été commise, ce qui entraîne l'admission partielle du pourvoi, la cause étant renvoyée à l'autorité cantonale pour qu'elle statue à nouveau après avoir examiné la question de la prescription BGE 119 IV 199 S. 202 pour chacune des atteintes à l'honneur ayant fait l'objet de la plainte pénale du 3 avril 1989. Le pourvoi n'étant admis que partiellement, il n'y a pas lieu de percevoir d'émolument judiciaire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